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9C" w:rsidRDefault="00BD1259">
      <w:pPr>
        <w:pStyle w:val="Standard"/>
        <w:jc w:val="center"/>
        <w:rPr>
          <w:rFonts w:cs="Times New Roman"/>
          <w:b/>
          <w:bCs/>
        </w:rPr>
      </w:pPr>
      <w:bookmarkStart w:id="0" w:name="_GoBack"/>
      <w:bookmarkEnd w:id="0"/>
      <w:r>
        <w:rPr>
          <w:rFonts w:cs="Times New Roman"/>
          <w:b/>
          <w:bCs/>
        </w:rPr>
        <w:t>PROGRAMMA DI LATINO</w:t>
      </w:r>
    </w:p>
    <w:p w:rsidR="007A709C" w:rsidRDefault="00BD1259">
      <w:pPr>
        <w:pStyle w:val="Standard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Classe 2^A</w:t>
      </w:r>
      <w:r w:rsidR="005B6730">
        <w:rPr>
          <w:rFonts w:cs="Times New Roman"/>
          <w:b/>
          <w:bCs/>
        </w:rPr>
        <w:t xml:space="preserve"> </w:t>
      </w:r>
      <w:r w:rsidR="005B6730">
        <w:rPr>
          <w:rFonts w:cs="Times New Roman"/>
          <w:b/>
          <w:bCs/>
          <w:kern w:val="0"/>
        </w:rPr>
        <w:t>Liceo Classico</w:t>
      </w:r>
    </w:p>
    <w:p w:rsidR="007A709C" w:rsidRDefault="00BD1259">
      <w:pPr>
        <w:pStyle w:val="Standard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Anno Scolastico 20</w:t>
      </w:r>
      <w:r w:rsidR="002B0235">
        <w:rPr>
          <w:rFonts w:cs="Times New Roman"/>
          <w:b/>
          <w:bCs/>
        </w:rPr>
        <w:t>20</w:t>
      </w:r>
      <w:r>
        <w:rPr>
          <w:rFonts w:cs="Times New Roman"/>
          <w:b/>
          <w:bCs/>
        </w:rPr>
        <w:t>/20</w:t>
      </w:r>
      <w:r w:rsidR="002B0235">
        <w:rPr>
          <w:rFonts w:cs="Times New Roman"/>
          <w:b/>
          <w:bCs/>
        </w:rPr>
        <w:t>21</w:t>
      </w:r>
    </w:p>
    <w:p w:rsidR="007A709C" w:rsidRDefault="00BD1259">
      <w:pPr>
        <w:pStyle w:val="Standard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Prof.ssa Enrichetta Massera</w:t>
      </w:r>
    </w:p>
    <w:p w:rsidR="007A709C" w:rsidRDefault="007A709C">
      <w:pPr>
        <w:pStyle w:val="Standard"/>
        <w:jc w:val="center"/>
        <w:rPr>
          <w:rFonts w:cs="Times New Roman"/>
          <w:b/>
          <w:bCs/>
        </w:rPr>
      </w:pPr>
    </w:p>
    <w:p w:rsidR="007A709C" w:rsidRDefault="00BD1259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>Morfologia:</w:t>
      </w:r>
    </w:p>
    <w:p w:rsidR="007A709C" w:rsidRDefault="00BD1259">
      <w:pPr>
        <w:pStyle w:val="Standard"/>
        <w:rPr>
          <w:rFonts w:cs="Times New Roman"/>
        </w:rPr>
      </w:pPr>
      <w:r>
        <w:rPr>
          <w:rFonts w:cs="Times New Roman"/>
        </w:rPr>
        <w:t>Ripasso delle declinazioni</w:t>
      </w:r>
    </w:p>
    <w:p w:rsidR="007A709C" w:rsidRDefault="00BD1259">
      <w:pPr>
        <w:pStyle w:val="Standard"/>
        <w:rPr>
          <w:rFonts w:cs="Times New Roman"/>
        </w:rPr>
      </w:pPr>
      <w:r>
        <w:rPr>
          <w:rFonts w:cs="Times New Roman"/>
        </w:rPr>
        <w:t>Il pronome:</w:t>
      </w:r>
      <w:r w:rsidR="009449CD">
        <w:rPr>
          <w:rFonts w:cs="Times New Roman"/>
        </w:rPr>
        <w:t>personali,</w:t>
      </w:r>
      <w:r>
        <w:rPr>
          <w:rFonts w:cs="Times New Roman"/>
        </w:rPr>
        <w:t xml:space="preserve"> dimostrativi, determinativi, relativi, indefiniti</w:t>
      </w:r>
      <w:r w:rsidR="009449CD">
        <w:rPr>
          <w:rFonts w:cs="Times New Roman"/>
        </w:rPr>
        <w:t>, interrogativi</w:t>
      </w:r>
      <w:r>
        <w:rPr>
          <w:rFonts w:cs="Times New Roman"/>
        </w:rPr>
        <w:t>;</w:t>
      </w:r>
    </w:p>
    <w:p w:rsidR="007A709C" w:rsidRDefault="00BD1259">
      <w:pPr>
        <w:pStyle w:val="Standard"/>
        <w:rPr>
          <w:rFonts w:cs="Times New Roman"/>
        </w:rPr>
      </w:pPr>
      <w:r>
        <w:rPr>
          <w:rFonts w:cs="Times New Roman"/>
        </w:rPr>
        <w:t>Il verbo: ripasso della forma attiva e passiva;</w:t>
      </w:r>
    </w:p>
    <w:p w:rsidR="007A709C" w:rsidRDefault="00BD1259">
      <w:pPr>
        <w:pStyle w:val="Standard"/>
        <w:rPr>
          <w:rFonts w:cs="Times New Roman"/>
        </w:rPr>
      </w:pPr>
      <w:r>
        <w:rPr>
          <w:rFonts w:cs="Times New Roman"/>
        </w:rPr>
        <w:t>Verbi deponenti;</w:t>
      </w:r>
    </w:p>
    <w:p w:rsidR="007A709C" w:rsidRDefault="00BD1259">
      <w:pPr>
        <w:pStyle w:val="Standard"/>
        <w:tabs>
          <w:tab w:val="left" w:pos="1140"/>
        </w:tabs>
        <w:rPr>
          <w:rFonts w:cs="Times New Roman"/>
        </w:rPr>
      </w:pPr>
      <w:r>
        <w:rPr>
          <w:rFonts w:cs="Times New Roman"/>
        </w:rPr>
        <w:t xml:space="preserve">Verbi anomali: </w:t>
      </w:r>
      <w:r>
        <w:rPr>
          <w:rFonts w:cs="Times New Roman"/>
          <w:i/>
          <w:iCs/>
        </w:rPr>
        <w:t>fero, volo</w:t>
      </w:r>
      <w:r w:rsidR="002B0235">
        <w:rPr>
          <w:rFonts w:cs="Times New Roman"/>
          <w:i/>
          <w:iCs/>
        </w:rPr>
        <w:t xml:space="preserve">, nolo </w:t>
      </w:r>
      <w:r w:rsidR="009449CD">
        <w:rPr>
          <w:rFonts w:cs="Times New Roman"/>
          <w:i/>
          <w:iCs/>
        </w:rPr>
        <w:t>,</w:t>
      </w:r>
      <w:r w:rsidR="002B0235">
        <w:rPr>
          <w:rFonts w:cs="Times New Roman"/>
          <w:i/>
          <w:iCs/>
        </w:rPr>
        <w:t xml:space="preserve">malo, </w:t>
      </w:r>
      <w:r>
        <w:rPr>
          <w:rFonts w:cs="Times New Roman"/>
        </w:rPr>
        <w:t>,</w:t>
      </w:r>
      <w:r>
        <w:rPr>
          <w:rFonts w:cs="Times New Roman"/>
          <w:i/>
          <w:iCs/>
        </w:rPr>
        <w:t xml:space="preserve"> eo</w:t>
      </w:r>
      <w:r>
        <w:rPr>
          <w:rFonts w:cs="Times New Roman"/>
        </w:rPr>
        <w:t>;</w:t>
      </w:r>
    </w:p>
    <w:p w:rsidR="002B0235" w:rsidRDefault="002B0235">
      <w:pPr>
        <w:pStyle w:val="Standard"/>
        <w:tabs>
          <w:tab w:val="left" w:pos="1140"/>
        </w:tabs>
      </w:pPr>
      <w:r>
        <w:rPr>
          <w:rFonts w:cs="Times New Roman"/>
        </w:rPr>
        <w:t>Coniugazione del verbo possum;</w:t>
      </w:r>
    </w:p>
    <w:p w:rsidR="007A709C" w:rsidRDefault="007A709C">
      <w:pPr>
        <w:pStyle w:val="Standard"/>
        <w:tabs>
          <w:tab w:val="left" w:pos="1140"/>
        </w:tabs>
        <w:rPr>
          <w:rFonts w:cs="Times New Roman"/>
        </w:rPr>
      </w:pPr>
    </w:p>
    <w:p w:rsidR="007A709C" w:rsidRDefault="00BD1259">
      <w:pPr>
        <w:pStyle w:val="Standard"/>
        <w:tabs>
          <w:tab w:val="left" w:pos="1140"/>
        </w:tabs>
        <w:rPr>
          <w:rFonts w:cs="Times New Roman"/>
          <w:b/>
          <w:bCs/>
        </w:rPr>
      </w:pPr>
      <w:r>
        <w:rPr>
          <w:rFonts w:cs="Times New Roman"/>
          <w:b/>
          <w:bCs/>
        </w:rPr>
        <w:t>Sintassi dei casi:</w:t>
      </w:r>
    </w:p>
    <w:p w:rsidR="007A709C" w:rsidRDefault="00BD1259">
      <w:pPr>
        <w:pStyle w:val="Standard"/>
        <w:tabs>
          <w:tab w:val="left" w:pos="1140"/>
        </w:tabs>
        <w:rPr>
          <w:rFonts w:cs="Times New Roman"/>
        </w:rPr>
      </w:pPr>
      <w:r>
        <w:rPr>
          <w:rFonts w:cs="Times New Roman"/>
        </w:rPr>
        <w:t>Il nominativo:</w:t>
      </w:r>
    </w:p>
    <w:p w:rsidR="007A709C" w:rsidRDefault="00BD1259">
      <w:pPr>
        <w:pStyle w:val="Standard"/>
        <w:numPr>
          <w:ilvl w:val="0"/>
          <w:numId w:val="1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il doppio nominativo</w:t>
      </w:r>
    </w:p>
    <w:p w:rsidR="007A709C" w:rsidRDefault="00BD1259">
      <w:pPr>
        <w:pStyle w:val="Standard"/>
        <w:numPr>
          <w:ilvl w:val="0"/>
          <w:numId w:val="1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nominativo con l'infinito</w:t>
      </w:r>
    </w:p>
    <w:p w:rsidR="007A709C" w:rsidRDefault="00BD1259">
      <w:pPr>
        <w:pStyle w:val="Standard"/>
        <w:numPr>
          <w:ilvl w:val="0"/>
          <w:numId w:val="1"/>
        </w:numPr>
        <w:tabs>
          <w:tab w:val="left" w:pos="-300"/>
        </w:tabs>
      </w:pPr>
      <w:r>
        <w:rPr>
          <w:rFonts w:cs="Times New Roman"/>
        </w:rPr>
        <w:t xml:space="preserve">il verbo </w:t>
      </w:r>
      <w:r>
        <w:rPr>
          <w:rFonts w:cs="Times New Roman"/>
          <w:i/>
          <w:iCs/>
        </w:rPr>
        <w:t xml:space="preserve">videor( </w:t>
      </w:r>
      <w:r>
        <w:rPr>
          <w:rFonts w:cs="Times New Roman"/>
        </w:rPr>
        <w:t>costruzione personale ed impersonale)</w:t>
      </w:r>
    </w:p>
    <w:p w:rsidR="007A709C" w:rsidRDefault="007A709C">
      <w:pPr>
        <w:pStyle w:val="Standard"/>
        <w:tabs>
          <w:tab w:val="left" w:pos="1140"/>
        </w:tabs>
        <w:rPr>
          <w:rFonts w:cs="Times New Roman"/>
        </w:rPr>
      </w:pPr>
    </w:p>
    <w:p w:rsidR="007A709C" w:rsidRDefault="00BD1259">
      <w:pPr>
        <w:pStyle w:val="Standard"/>
        <w:tabs>
          <w:tab w:val="left" w:pos="1140"/>
        </w:tabs>
        <w:rPr>
          <w:rFonts w:cs="Times New Roman"/>
        </w:rPr>
      </w:pPr>
      <w:r>
        <w:rPr>
          <w:rFonts w:cs="Times New Roman"/>
        </w:rPr>
        <w:t>L'accusativo:</w:t>
      </w:r>
    </w:p>
    <w:p w:rsidR="007A709C" w:rsidRDefault="00BD1259">
      <w:pPr>
        <w:pStyle w:val="Standard"/>
        <w:numPr>
          <w:ilvl w:val="0"/>
          <w:numId w:val="2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accusativo dell'oggetto</w:t>
      </w:r>
    </w:p>
    <w:p w:rsidR="007A709C" w:rsidRDefault="00BD1259">
      <w:pPr>
        <w:pStyle w:val="Standard"/>
        <w:numPr>
          <w:ilvl w:val="0"/>
          <w:numId w:val="2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costruzione dei verbi assolutamente impersonali</w:t>
      </w:r>
    </w:p>
    <w:p w:rsidR="007A709C" w:rsidRDefault="00BD1259">
      <w:pPr>
        <w:pStyle w:val="Standard"/>
        <w:numPr>
          <w:ilvl w:val="0"/>
          <w:numId w:val="2"/>
        </w:numPr>
        <w:tabs>
          <w:tab w:val="left" w:pos="-300"/>
        </w:tabs>
      </w:pPr>
      <w:r>
        <w:rPr>
          <w:rFonts w:cs="Times New Roman"/>
        </w:rPr>
        <w:t xml:space="preserve">costruzione dei verbi </w:t>
      </w:r>
      <w:r>
        <w:rPr>
          <w:rFonts w:cs="Times New Roman"/>
          <w:i/>
          <w:iCs/>
        </w:rPr>
        <w:t>doceo</w:t>
      </w:r>
      <w:r>
        <w:rPr>
          <w:rFonts w:cs="Times New Roman"/>
        </w:rPr>
        <w:t xml:space="preserve"> e </w:t>
      </w:r>
      <w:r>
        <w:rPr>
          <w:rFonts w:cs="Times New Roman"/>
          <w:i/>
          <w:iCs/>
        </w:rPr>
        <w:t>celo</w:t>
      </w:r>
    </w:p>
    <w:p w:rsidR="007A709C" w:rsidRDefault="00BD1259">
      <w:pPr>
        <w:pStyle w:val="Standard"/>
        <w:tabs>
          <w:tab w:val="left" w:pos="1140"/>
        </w:tabs>
        <w:rPr>
          <w:rFonts w:cs="Times New Roman"/>
        </w:rPr>
      </w:pPr>
      <w:r>
        <w:rPr>
          <w:rFonts w:cs="Times New Roman"/>
        </w:rPr>
        <w:t xml:space="preserve"> </w:t>
      </w:r>
    </w:p>
    <w:p w:rsidR="007A709C" w:rsidRDefault="00BD1259">
      <w:pPr>
        <w:pStyle w:val="Standard"/>
        <w:tabs>
          <w:tab w:val="left" w:pos="1140"/>
        </w:tabs>
        <w:rPr>
          <w:rFonts w:cs="Times New Roman"/>
          <w:b/>
          <w:bCs/>
        </w:rPr>
      </w:pPr>
      <w:r>
        <w:rPr>
          <w:rFonts w:cs="Times New Roman"/>
          <w:b/>
          <w:bCs/>
        </w:rPr>
        <w:t>Sintassi:</w:t>
      </w:r>
    </w:p>
    <w:p w:rsidR="007A709C" w:rsidRDefault="00BD1259">
      <w:pPr>
        <w:pStyle w:val="Standard"/>
        <w:numPr>
          <w:ilvl w:val="0"/>
          <w:numId w:val="8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Coniugazione perifrastica attiva e passiva;</w:t>
      </w:r>
    </w:p>
    <w:p w:rsidR="007A709C" w:rsidRDefault="00BD1259">
      <w:pPr>
        <w:pStyle w:val="Standard"/>
        <w:numPr>
          <w:ilvl w:val="0"/>
          <w:numId w:val="8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Ablativo assoluto;</w:t>
      </w:r>
    </w:p>
    <w:p w:rsidR="007A709C" w:rsidRDefault="00BD1259">
      <w:pPr>
        <w:pStyle w:val="Standard"/>
        <w:numPr>
          <w:ilvl w:val="0"/>
          <w:numId w:val="8"/>
        </w:numPr>
        <w:tabs>
          <w:tab w:val="left" w:pos="-300"/>
        </w:tabs>
      </w:pPr>
      <w:r>
        <w:rPr>
          <w:rFonts w:cs="Times New Roman"/>
          <w:i/>
          <w:iCs/>
        </w:rPr>
        <w:t>Cum</w:t>
      </w:r>
      <w:r>
        <w:rPr>
          <w:rFonts w:cs="Times New Roman"/>
        </w:rPr>
        <w:t xml:space="preserve"> narrativo;</w:t>
      </w:r>
    </w:p>
    <w:p w:rsidR="007A709C" w:rsidRDefault="00BD1259">
      <w:pPr>
        <w:pStyle w:val="Standard"/>
        <w:numPr>
          <w:ilvl w:val="0"/>
          <w:numId w:val="8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Subordinate infinitive soggettive ed oggettive;</w:t>
      </w:r>
    </w:p>
    <w:p w:rsidR="007A709C" w:rsidRDefault="00BD1259">
      <w:pPr>
        <w:pStyle w:val="Standard"/>
        <w:numPr>
          <w:ilvl w:val="0"/>
          <w:numId w:val="8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Subordinate consecutive;</w:t>
      </w:r>
    </w:p>
    <w:p w:rsidR="007A709C" w:rsidRDefault="00BD1259">
      <w:pPr>
        <w:pStyle w:val="Standard"/>
        <w:numPr>
          <w:ilvl w:val="0"/>
          <w:numId w:val="8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Subordinate finali;</w:t>
      </w:r>
    </w:p>
    <w:p w:rsidR="007A709C" w:rsidRDefault="007A709C">
      <w:pPr>
        <w:pStyle w:val="Standard"/>
        <w:tabs>
          <w:tab w:val="left" w:pos="1140"/>
        </w:tabs>
        <w:rPr>
          <w:rFonts w:cs="Times New Roman"/>
        </w:rPr>
      </w:pPr>
    </w:p>
    <w:p w:rsidR="007A709C" w:rsidRDefault="00BD1259">
      <w:pPr>
        <w:pStyle w:val="Standard"/>
        <w:tabs>
          <w:tab w:val="left" w:pos="1140"/>
        </w:tabs>
        <w:rPr>
          <w:rFonts w:cs="Times New Roman"/>
          <w:b/>
          <w:bCs/>
        </w:rPr>
      </w:pPr>
      <w:r>
        <w:rPr>
          <w:rFonts w:cs="Times New Roman"/>
          <w:b/>
          <w:bCs/>
        </w:rPr>
        <w:t>Cultura latina:</w:t>
      </w:r>
    </w:p>
    <w:p w:rsidR="007A709C" w:rsidRDefault="00BD1259">
      <w:pPr>
        <w:pStyle w:val="Standard"/>
        <w:numPr>
          <w:ilvl w:val="0"/>
          <w:numId w:val="9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Cenni sulla commedia latina e le sue origini;</w:t>
      </w:r>
    </w:p>
    <w:p w:rsidR="007A709C" w:rsidRDefault="00BD1259">
      <w:pPr>
        <w:pStyle w:val="Standard"/>
        <w:numPr>
          <w:ilvl w:val="0"/>
          <w:numId w:val="9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Plauto e Terenzio: caratteristiche della comicità dei due autori latini;</w:t>
      </w:r>
    </w:p>
    <w:p w:rsidR="007A709C" w:rsidRDefault="00BD1259">
      <w:pPr>
        <w:pStyle w:val="Standard"/>
        <w:numPr>
          <w:ilvl w:val="0"/>
          <w:numId w:val="9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Rapporti tra la commedia greca e la commedia latina;</w:t>
      </w:r>
    </w:p>
    <w:p w:rsidR="007A709C" w:rsidRDefault="00BD1259">
      <w:pPr>
        <w:pStyle w:val="Standard"/>
        <w:numPr>
          <w:ilvl w:val="0"/>
          <w:numId w:val="9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La letteratura e la situazione politica dell'età augustea;</w:t>
      </w:r>
    </w:p>
    <w:p w:rsidR="002B0235" w:rsidRDefault="002B0235">
      <w:pPr>
        <w:pStyle w:val="Standard"/>
        <w:numPr>
          <w:ilvl w:val="0"/>
          <w:numId w:val="9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Il mecenatismo;</w:t>
      </w:r>
    </w:p>
    <w:p w:rsidR="002B0235" w:rsidRDefault="002B0235">
      <w:pPr>
        <w:pStyle w:val="Standard"/>
        <w:numPr>
          <w:ilvl w:val="0"/>
          <w:numId w:val="9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La letteratura latina nel periodo Giulio-Claudio;</w:t>
      </w:r>
    </w:p>
    <w:p w:rsidR="002B0235" w:rsidRDefault="002B0235">
      <w:pPr>
        <w:pStyle w:val="Standard"/>
        <w:numPr>
          <w:ilvl w:val="0"/>
          <w:numId w:val="9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Il Satyricon di Petronio e la cena Trimalchionis</w:t>
      </w:r>
      <w:r w:rsidR="00591D4E">
        <w:rPr>
          <w:rFonts w:cs="Times New Roman"/>
        </w:rPr>
        <w:t>;</w:t>
      </w:r>
    </w:p>
    <w:p w:rsidR="00591D4E" w:rsidRDefault="00591D4E">
      <w:pPr>
        <w:pStyle w:val="Standard"/>
        <w:numPr>
          <w:ilvl w:val="0"/>
          <w:numId w:val="9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La letteratura del consenso e del dissenso nel periodo del principato;</w:t>
      </w:r>
    </w:p>
    <w:p w:rsidR="007A709C" w:rsidRDefault="00591D4E" w:rsidP="00591D4E">
      <w:pPr>
        <w:pStyle w:val="Standard"/>
        <w:numPr>
          <w:ilvl w:val="0"/>
          <w:numId w:val="9"/>
        </w:numPr>
        <w:tabs>
          <w:tab w:val="left" w:pos="-300"/>
        </w:tabs>
        <w:rPr>
          <w:rFonts w:cs="Times New Roman"/>
        </w:rPr>
      </w:pPr>
      <w:r w:rsidRPr="00591D4E">
        <w:rPr>
          <w:rFonts w:cs="Times New Roman"/>
        </w:rPr>
        <w:t>La colonna Traiana : caratteristiche e finalità</w:t>
      </w:r>
      <w:r>
        <w:rPr>
          <w:rFonts w:cs="Times New Roman"/>
        </w:rPr>
        <w:t>;</w:t>
      </w:r>
    </w:p>
    <w:p w:rsidR="00591D4E" w:rsidRDefault="00591D4E" w:rsidP="00591D4E">
      <w:pPr>
        <w:pStyle w:val="Standard"/>
        <w:numPr>
          <w:ilvl w:val="0"/>
          <w:numId w:val="9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Il carteggio tra Plinio il Giovane e Traiano circa il “problema “dei Cristiani;</w:t>
      </w:r>
    </w:p>
    <w:p w:rsidR="00591D4E" w:rsidRDefault="00591D4E" w:rsidP="00591D4E">
      <w:pPr>
        <w:pStyle w:val="Standard"/>
        <w:numPr>
          <w:ilvl w:val="0"/>
          <w:numId w:val="9"/>
        </w:numPr>
        <w:tabs>
          <w:tab w:val="left" w:pos="-300"/>
        </w:tabs>
        <w:rPr>
          <w:rFonts w:cs="Times New Roman"/>
        </w:rPr>
      </w:pPr>
      <w:r>
        <w:rPr>
          <w:rFonts w:cs="Times New Roman"/>
        </w:rPr>
        <w:t>Approfondimento sull’eruzione del Vesuvio del 79d. C. e i recenti ritrovamenti archeologici relativi agli scavi di Pompei;</w:t>
      </w:r>
    </w:p>
    <w:p w:rsidR="009449CD" w:rsidRDefault="009449CD" w:rsidP="009449CD">
      <w:pPr>
        <w:pStyle w:val="Standard"/>
        <w:tabs>
          <w:tab w:val="left" w:pos="1140"/>
        </w:tabs>
        <w:rPr>
          <w:rFonts w:cs="Times New Roman"/>
          <w:b/>
          <w:bCs/>
        </w:rPr>
      </w:pPr>
      <w:r>
        <w:rPr>
          <w:rFonts w:cs="Times New Roman"/>
          <w:b/>
          <w:bCs/>
        </w:rPr>
        <w:t>Educazione civica:</w:t>
      </w:r>
    </w:p>
    <w:p w:rsidR="009449CD" w:rsidRDefault="009449CD" w:rsidP="009449CD">
      <w:pPr>
        <w:pStyle w:val="Standard"/>
        <w:numPr>
          <w:ilvl w:val="0"/>
          <w:numId w:val="9"/>
        </w:numPr>
        <w:tabs>
          <w:tab w:val="left" w:pos="-300"/>
        </w:tabs>
        <w:ind w:left="360"/>
        <w:rPr>
          <w:rFonts w:cs="Times New Roman"/>
        </w:rPr>
      </w:pPr>
      <w:r w:rsidRPr="009449CD">
        <w:rPr>
          <w:rFonts w:cs="Times New Roman"/>
        </w:rPr>
        <w:t>La libertà religiosa</w:t>
      </w:r>
      <w:r>
        <w:rPr>
          <w:rFonts w:cs="Times New Roman"/>
        </w:rPr>
        <w:t>: articolo 8 della Costituzione Italiana;</w:t>
      </w:r>
    </w:p>
    <w:p w:rsidR="009449CD" w:rsidRDefault="009449CD" w:rsidP="009449CD">
      <w:pPr>
        <w:pStyle w:val="Standard"/>
        <w:numPr>
          <w:ilvl w:val="0"/>
          <w:numId w:val="9"/>
        </w:numPr>
        <w:tabs>
          <w:tab w:val="left" w:pos="-300"/>
        </w:tabs>
        <w:ind w:left="360"/>
        <w:rPr>
          <w:rFonts w:cs="Times New Roman"/>
        </w:rPr>
      </w:pPr>
      <w:r>
        <w:rPr>
          <w:rFonts w:cs="Times New Roman"/>
        </w:rPr>
        <w:t>Cittadinanza: Articolo 9 del Trattato sull’Unione europea;</w:t>
      </w:r>
    </w:p>
    <w:p w:rsidR="009449CD" w:rsidRPr="009449CD" w:rsidRDefault="009449CD" w:rsidP="009449CD">
      <w:pPr>
        <w:pStyle w:val="Standard"/>
        <w:numPr>
          <w:ilvl w:val="0"/>
          <w:numId w:val="9"/>
        </w:numPr>
        <w:tabs>
          <w:tab w:val="left" w:pos="-300"/>
        </w:tabs>
        <w:ind w:left="360"/>
        <w:rPr>
          <w:rFonts w:cs="Times New Roman"/>
        </w:rPr>
      </w:pPr>
      <w:r>
        <w:rPr>
          <w:rFonts w:cs="Times New Roman"/>
        </w:rPr>
        <w:t>Ius sanguinis e ius soli:due antiche visioni della cittadinanza</w:t>
      </w:r>
      <w:r w:rsidR="00EA1659">
        <w:rPr>
          <w:rFonts w:cs="Times New Roman"/>
        </w:rPr>
        <w:t>;</w:t>
      </w:r>
      <w:r w:rsidRPr="009449CD">
        <w:rPr>
          <w:rFonts w:cs="Times New Roman"/>
        </w:rPr>
        <w:tab/>
      </w:r>
    </w:p>
    <w:p w:rsidR="00591D4E" w:rsidRPr="00591D4E" w:rsidRDefault="009449CD" w:rsidP="009449CD">
      <w:pPr>
        <w:pStyle w:val="Standard"/>
        <w:tabs>
          <w:tab w:val="left" w:pos="-300"/>
          <w:tab w:val="left" w:pos="1836"/>
        </w:tabs>
        <w:ind w:left="360"/>
        <w:rPr>
          <w:rFonts w:cs="Times New Roman"/>
        </w:rPr>
      </w:pPr>
      <w:r>
        <w:rPr>
          <w:rFonts w:cs="Times New Roman"/>
        </w:rPr>
        <w:tab/>
      </w:r>
    </w:p>
    <w:p w:rsidR="007A709C" w:rsidRDefault="00BD1259">
      <w:pPr>
        <w:pStyle w:val="Standard"/>
        <w:tabs>
          <w:tab w:val="left" w:pos="1140"/>
        </w:tabs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L'insegnante</w:t>
      </w:r>
    </w:p>
    <w:p w:rsidR="007A709C" w:rsidRDefault="00BD1259" w:rsidP="005B6730">
      <w:pPr>
        <w:pStyle w:val="Standard"/>
        <w:tabs>
          <w:tab w:val="left" w:pos="1140"/>
        </w:tabs>
        <w:rPr>
          <w:rFonts w:cs="Times New Roman"/>
          <w:b/>
          <w:bCs/>
        </w:rPr>
      </w:pPr>
      <w:r>
        <w:rPr>
          <w:rFonts w:cs="Times New Roman"/>
        </w:rPr>
        <w:t xml:space="preserve">                                                                                     </w:t>
      </w:r>
      <w:r w:rsidR="005B6730">
        <w:rPr>
          <w:rFonts w:cs="Times New Roman"/>
        </w:rPr>
        <w:t xml:space="preserve">   </w:t>
      </w:r>
      <w:r>
        <w:rPr>
          <w:rFonts w:cs="Times New Roman"/>
        </w:rPr>
        <w:t>Enrichetta Massera</w:t>
      </w:r>
    </w:p>
    <w:sectPr w:rsidR="007A709C" w:rsidSect="00371F6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EA2" w:rsidRDefault="00385EA2">
      <w:r>
        <w:separator/>
      </w:r>
    </w:p>
  </w:endnote>
  <w:endnote w:type="continuationSeparator" w:id="0">
    <w:p w:rsidR="00385EA2" w:rsidRDefault="00385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EA2" w:rsidRDefault="00385EA2">
      <w:r>
        <w:rPr>
          <w:color w:val="000000"/>
        </w:rPr>
        <w:separator/>
      </w:r>
    </w:p>
  </w:footnote>
  <w:footnote w:type="continuationSeparator" w:id="0">
    <w:p w:rsidR="00385EA2" w:rsidRDefault="00385E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784"/>
    <w:multiLevelType w:val="multilevel"/>
    <w:tmpl w:val="FA729B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181A425C"/>
    <w:multiLevelType w:val="multilevel"/>
    <w:tmpl w:val="F2AC348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>
    <w:nsid w:val="245B6F7B"/>
    <w:multiLevelType w:val="multilevel"/>
    <w:tmpl w:val="267012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269C6298"/>
    <w:multiLevelType w:val="multilevel"/>
    <w:tmpl w:val="3C4A69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27D01278"/>
    <w:multiLevelType w:val="multilevel"/>
    <w:tmpl w:val="6930F5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2D3F7DC8"/>
    <w:multiLevelType w:val="multilevel"/>
    <w:tmpl w:val="781EA7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49EB76C7"/>
    <w:multiLevelType w:val="multilevel"/>
    <w:tmpl w:val="1A186E4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5FC00140"/>
    <w:multiLevelType w:val="multilevel"/>
    <w:tmpl w:val="325A044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>
    <w:nsid w:val="7F0C31C6"/>
    <w:multiLevelType w:val="multilevel"/>
    <w:tmpl w:val="49862FE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8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A709C"/>
    <w:rsid w:val="00067C29"/>
    <w:rsid w:val="000935C8"/>
    <w:rsid w:val="001D61CD"/>
    <w:rsid w:val="002B0235"/>
    <w:rsid w:val="00371F63"/>
    <w:rsid w:val="00385EA2"/>
    <w:rsid w:val="00491F52"/>
    <w:rsid w:val="00591D4E"/>
    <w:rsid w:val="005B6730"/>
    <w:rsid w:val="00664085"/>
    <w:rsid w:val="007A709C"/>
    <w:rsid w:val="009449CD"/>
    <w:rsid w:val="009C109D"/>
    <w:rsid w:val="009C22F0"/>
    <w:rsid w:val="00BD1259"/>
    <w:rsid w:val="00CD1A09"/>
    <w:rsid w:val="00EA1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71F63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371F63"/>
    <w:pPr>
      <w:suppressAutoHyphens/>
    </w:pPr>
  </w:style>
  <w:style w:type="paragraph" w:customStyle="1" w:styleId="Heading">
    <w:name w:val="Heading"/>
    <w:basedOn w:val="Standard"/>
    <w:next w:val="Textbody"/>
    <w:rsid w:val="00371F6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371F63"/>
    <w:pPr>
      <w:spacing w:after="120"/>
    </w:pPr>
  </w:style>
  <w:style w:type="paragraph" w:styleId="Elenco">
    <w:name w:val="List"/>
    <w:basedOn w:val="Textbody"/>
    <w:rsid w:val="00371F63"/>
  </w:style>
  <w:style w:type="paragraph" w:styleId="Didascalia">
    <w:name w:val="caption"/>
    <w:basedOn w:val="Standard"/>
    <w:rsid w:val="00371F6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71F63"/>
    <w:pPr>
      <w:suppressLineNumbers/>
    </w:pPr>
  </w:style>
  <w:style w:type="character" w:customStyle="1" w:styleId="NumberingSymbols">
    <w:name w:val="Numbering Symbols"/>
    <w:rsid w:val="00371F63"/>
  </w:style>
  <w:style w:type="character" w:customStyle="1" w:styleId="BulletSymbols">
    <w:name w:val="Bullet Symbols"/>
    <w:rsid w:val="00371F63"/>
    <w:rPr>
      <w:rFonts w:ascii="OpenSymbol" w:eastAsia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Di Fede</dc:creator>
  <cp:lastModifiedBy>Francesco Di Fede</cp:lastModifiedBy>
  <cp:revision>4</cp:revision>
  <dcterms:created xsi:type="dcterms:W3CDTF">2021-06-06T17:38:00Z</dcterms:created>
  <dcterms:modified xsi:type="dcterms:W3CDTF">2021-06-10T16:54:00Z</dcterms:modified>
</cp:coreProperties>
</file>