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32"/>
          <w:szCs w:val="32"/>
        </w:rPr>
      </w:pPr>
      <w:r>
        <w:rPr>
          <w:rFonts w:eastAsia="Calibri" w:cs="Times New Roman" w:ascii="Times New Roman" w:hAnsi="Times New Roman"/>
          <w:b/>
          <w:bCs/>
          <w:color w:val="000000"/>
          <w:sz w:val="32"/>
          <w:szCs w:val="32"/>
        </w:rPr>
        <w:t>PROGRAMMA DIDATTICA  SVOLTO</w:t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spacing w:val="6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</w:p>
    <w:tbl>
      <w:tblPr>
        <w:tblW w:w="82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69"/>
        <w:gridCol w:w="4826"/>
      </w:tblGrid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DOCENTE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kern w:val="2"/>
                <w:sz w:val="24"/>
                <w:szCs w:val="24"/>
              </w:rPr>
            </w:pPr>
            <w:r>
              <w:rPr>
                <w:rFonts w:eastAsia="SimSun" w:ascii="Times New Roman" w:hAnsi="Times New Roman"/>
                <w:kern w:val="2"/>
                <w:sz w:val="24"/>
                <w:szCs w:val="24"/>
              </w:rPr>
              <w:t>Eugenio Galioto</w:t>
            </w:r>
          </w:p>
        </w:tc>
      </w:tr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Disciplina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SCIENZE UMANE</w:t>
            </w:r>
          </w:p>
        </w:tc>
      </w:tr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ClassE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 C LSU</w:t>
            </w:r>
          </w:p>
        </w:tc>
      </w:tr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Anno scolastico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2020/2021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b/>
          <w:spacing w:val="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pacing w:val="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pacing w:val="60"/>
          <w:sz w:val="36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Percorso didattico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                  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 xml:space="preserve">La psicologia sociale: temi e problemi </w:t>
      </w:r>
    </w:p>
    <w:p>
      <w:pPr>
        <w:pStyle w:val="Normal"/>
        <w:spacing w:before="0" w:after="0"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Storia della psicologia sociale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La psicologia delle folle di Gustav Le Bon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psicologia sociale e ricerca sperimentale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Cenni metodologici sulla psicologia sperimentale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Psicologia sociale: una definizione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Gli ambiti di studio della psicologia sociale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Mead e la teoria dell’altro generalizzato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La cognizione sociale: l’effetto primacy;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le teorie implicite della personalità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l’effetto alone; il ragionamento sociale e l’euristica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E</w:t>
      </w:r>
      <w:r>
        <w:rPr>
          <w:rFonts w:cs="Times New Roman" w:ascii="Times New Roman" w:hAnsi="Times New Roman"/>
          <w:bCs/>
          <w:sz w:val="24"/>
          <w:szCs w:val="24"/>
        </w:rPr>
        <w:t xml:space="preserve">uristica </w:t>
      </w:r>
      <w:r>
        <w:rPr>
          <w:rFonts w:cs="Times New Roman" w:ascii="Times New Roman" w:hAnsi="Times New Roman"/>
          <w:bCs/>
          <w:sz w:val="24"/>
          <w:szCs w:val="24"/>
        </w:rPr>
        <w:t>e</w:t>
      </w:r>
      <w:r>
        <w:rPr>
          <w:rFonts w:cs="Times New Roman" w:ascii="Times New Roman" w:hAnsi="Times New Roman"/>
          <w:bCs/>
          <w:sz w:val="24"/>
          <w:szCs w:val="24"/>
        </w:rPr>
        <w:t xml:space="preserve"> attribuzioni: Heider, Rotter e Weiner; i biases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L’influenza sociale: </w:t>
      </w:r>
      <w:r>
        <w:rPr>
          <w:rFonts w:cs="Times New Roman" w:ascii="Times New Roman" w:hAnsi="Times New Roman"/>
          <w:bCs/>
          <w:sz w:val="24"/>
          <w:szCs w:val="24"/>
        </w:rPr>
        <w:t>conformismo della maggioranza, la coerenza delle minoranze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Gli stereotipi sociali: definizione, origine, meccanismi, l’autoconvalida.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I pregiudizi: definizione e classificazione; origine; conflittualità; attenuazione.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Teoria della prossimità relazionale di Allport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Gli esperimenti sull’influenza sociale di Sherif e Asch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Gli studi sull’obbedienza all’autorità in Milgram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La deindividuazione nell’esperimento di Stenford di Zimbardo</w:t>
      </w:r>
    </w:p>
    <w:p>
      <w:pPr>
        <w:pStyle w:val="ListParagraph"/>
        <w:numPr>
          <w:ilvl w:val="0"/>
          <w:numId w:val="0"/>
        </w:numPr>
        <w:spacing w:before="0" w:after="0"/>
        <w:ind w:left="1440" w:hanging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/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L</w:t>
      </w:r>
      <w:r>
        <w:rPr>
          <w:rFonts w:cs="Times New Roman" w:ascii="Times New Roman" w:hAnsi="Times New Roman"/>
          <w:bCs/>
          <w:i/>
          <w:sz w:val="24"/>
          <w:szCs w:val="24"/>
        </w:rPr>
        <w:t>a nascita della Psicoanalisi: Sigmud Freud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Modelli e fattori della personalità secondo la psicologia: definizione della personalità; le teorie tipologiche; le teorie dei tratti.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Freud e la </w:t>
      </w:r>
      <w:r>
        <w:rPr>
          <w:rFonts w:cs="Times New Roman" w:ascii="Times New Roman" w:hAnsi="Times New Roman"/>
          <w:bCs/>
          <w:sz w:val="24"/>
          <w:szCs w:val="24"/>
        </w:rPr>
        <w:t>nascita della</w:t>
      </w:r>
      <w:r>
        <w:rPr>
          <w:rFonts w:cs="Times New Roman" w:ascii="Times New Roman" w:hAnsi="Times New Roman"/>
          <w:bCs/>
          <w:sz w:val="24"/>
          <w:szCs w:val="24"/>
        </w:rPr>
        <w:t xml:space="preserve"> psicoanalisi.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Ipnosi e psicoterapia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La struttura della psiche in Freud: Io, Es, Super-Io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L’interpretazione dei sogni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Rimozione e nevrosi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Libido e sessualità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Le differenti fasi dello sviluppo psico-sessuale e il complesso d’Edipo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La “cura delle parole” e il setting analitico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Principio di piacere e principio di realtà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Il “disagio della Civiltà”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/>
      </w:r>
    </w:p>
    <w:p>
      <w:pPr>
        <w:pStyle w:val="ListParagraph"/>
        <w:spacing w:before="0" w:after="0"/>
        <w:ind w:hanging="0"/>
        <w:contextualSpacing/>
        <w:rPr/>
      </w:pPr>
      <w:r>
        <w:rPr/>
      </w:r>
    </w:p>
    <w:p>
      <w:pPr>
        <w:pStyle w:val="ListParagraph"/>
        <w:numPr>
          <w:ilvl w:val="0"/>
          <w:numId w:val="0"/>
        </w:numPr>
        <w:spacing w:before="0" w:after="0"/>
        <w:ind w:left="840" w:hanging="0"/>
        <w:contextualSpacing/>
        <w:rPr>
          <w:i/>
          <w:i/>
          <w:iCs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</w:rPr>
        <w:t>La psicologia analitica di Jung</w:t>
      </w:r>
    </w:p>
    <w:p>
      <w:pPr>
        <w:pStyle w:val="ListParagraph"/>
        <w:numPr>
          <w:ilvl w:val="0"/>
          <w:numId w:val="0"/>
        </w:numPr>
        <w:spacing w:before="0" w:after="0"/>
        <w:ind w:left="840" w:hanging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i/>
          <w:iCs/>
        </w:rPr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La rivoluzione junghiana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la struttura della psiche in Jung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Inconscio personale e inconscio collettivo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Gli archetipi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I tipi di personalità: pensiero, sentimento, sensazione, intuizione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I complessi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Il concetto junghiano di libido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Teoria e interpretazione dei sogni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Il metodo dialettico e l’approccio terapeutico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L’espansione della coscienza e la cura della nevrosi</w:t>
      </w:r>
    </w:p>
    <w:p>
      <w:pPr>
        <w:pStyle w:val="ListParagraph"/>
        <w:numPr>
          <w:ilvl w:val="0"/>
          <w:numId w:val="1"/>
        </w:numPr>
        <w:spacing w:before="0" w:after="0"/>
        <w:ind w:hanging="0"/>
        <w:contextualSpacing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4"/>
          <w:szCs w:val="24"/>
        </w:rPr>
        <w:t>L’ombra e l’Anima</w:t>
      </w:r>
    </w:p>
    <w:p>
      <w:pPr>
        <w:pStyle w:val="ListParagraph"/>
        <w:numPr>
          <w:ilvl w:val="0"/>
          <w:numId w:val="0"/>
        </w:numPr>
        <w:spacing w:before="0" w:after="0"/>
        <w:ind w:left="840" w:hanging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i w:val="false"/>
          <w:iCs w:val="false"/>
        </w:rPr>
      </w:r>
    </w:p>
    <w:p>
      <w:pPr>
        <w:pStyle w:val="ListParagraph"/>
        <w:numPr>
          <w:ilvl w:val="0"/>
          <w:numId w:val="0"/>
        </w:numPr>
        <w:spacing w:before="0" w:after="0"/>
        <w:ind w:left="1560" w:hanging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</w:r>
    </w:p>
    <w:p>
      <w:pPr>
        <w:pStyle w:val="ListParagraph"/>
        <w:spacing w:before="0" w:after="0"/>
        <w:contextualSpacing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Il testo di riferimento è stato affiancato dal materiale integrativo fornito dal Professore attraverso classroom (dispense, slides, mappe concettuali) e altro materiale cartaceo, al fine di approfondire gli argomenti trattati in direzione di una compiuta rielaborazione critica dei contenuti da parte della classe. </w:t>
      </w:r>
    </w:p>
    <w:p>
      <w:pPr>
        <w:pStyle w:val="ListParagraph"/>
        <w:spacing w:before="0" w:after="0"/>
        <w:contextualSpacing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A tal fine, ci si è avvalsi anche di supporti telematici e piattaforme audiovisive. </w:t>
      </w:r>
    </w:p>
    <w:p>
      <w:pPr>
        <w:pStyle w:val="ListParagraph"/>
        <w:spacing w:before="0" w:after="0"/>
        <w:contextualSpacing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ListParagraph"/>
        <w:spacing w:before="0" w:after="0"/>
        <w:contextualSpacing/>
        <w:rPr>
          <w:i w:val="false"/>
          <w:i w:val="false"/>
          <w:iCs w:val="false"/>
        </w:rPr>
      </w:pPr>
      <w:r>
        <w:rPr>
          <w:i w:val="false"/>
          <w:iCs w:val="false"/>
        </w:rPr>
        <w:t>Per il programma svolto il primo trimestre (Pedagogia), si rimanda alla documentazione rilasciata dal docente in servizio durante il primo trimestre.</w:t>
      </w:r>
    </w:p>
    <w:p>
      <w:pPr>
        <w:pStyle w:val="ListParagraph"/>
        <w:spacing w:before="0" w:after="0"/>
        <w:contextualSpacing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ListParagraph"/>
        <w:spacing w:before="0" w:after="0"/>
        <w:ind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Civitavecchia, </w:t>
      </w:r>
      <w:r>
        <w:rPr>
          <w:rFonts w:eastAsia="SimSun" w:cs="Times New Roman" w:ascii="Times New Roman" w:hAnsi="Times New Roman"/>
          <w:kern w:val="2"/>
          <w:sz w:val="24"/>
          <w:szCs w:val="24"/>
        </w:rPr>
        <w:t>10/06/2021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</w:t>
        <w:tab/>
        <w:t>Il docente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>Eugenio Galioto</w:t>
      </w:r>
    </w:p>
    <w:p>
      <w:pPr>
        <w:pStyle w:val="ListParagraph"/>
        <w:spacing w:before="0" w:after="0"/>
        <w:contextualSpacing/>
        <w:jc w:val="right"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/>
        <w:drawing>
          <wp:inline distT="0" distB="0" distL="0" distR="0">
            <wp:extent cx="1971675" cy="4191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4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both"/>
    </w:pPr>
    <w:rPr>
      <w:rFonts w:ascii="Calibri" w:hAnsi="Calibri" w:eastAsia="SimSun" w:cs="" w:asciiTheme="minorHAnsi" w:cstheme="minorBidi" w:hAnsiTheme="minorHAnsi"/>
      <w:color w:val="auto"/>
      <w:kern w:val="2"/>
      <w:sz w:val="21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9f007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it-IT" w:eastAsia="it-IT" w:bidi="ar-SA"/>
    </w:rPr>
  </w:style>
  <w:style w:type="paragraph" w:styleId="TableParagraph" w:customStyle="1">
    <w:name w:val="Table Paragraph"/>
    <w:basedOn w:val="Normal"/>
    <w:uiPriority w:val="1"/>
    <w:qFormat/>
    <w:rsid w:val="009f0071"/>
    <w:pPr>
      <w:widowControl w:val="false"/>
      <w:spacing w:lineRule="auto" w:line="240" w:before="0" w:after="0"/>
      <w:ind w:left="105" w:hanging="0"/>
      <w:jc w:val="left"/>
    </w:pPr>
    <w:rPr>
      <w:rFonts w:ascii="Arial" w:hAnsi="Arial" w:eastAsia="Arial" w:cs="Arial"/>
      <w:kern w:val="0"/>
      <w:sz w:val="22"/>
      <w:lang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9f0071"/>
    <w:pPr>
      <w:spacing w:after="0" w:line="240" w:lineRule="auto"/>
    </w:pPr>
    <w:rPr>
      <w:rFonts w:eastAsiaTheme="minorHAnsi"/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LibreOffice/7.0.6.2$Windows_X86_64 LibreOffice_project/144abb84a525d8e30c9dbbefa69cbbf2d8d4ae3b</Application>
  <AppVersion>15.0000</AppVersion>
  <Pages>2</Pages>
  <Words>406</Words>
  <Characters>2360</Characters>
  <CharactersWithSpaces>2781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2020-11-02T15:42:00Z</dcterms:created>
  <dc:creator>verAND</dc:creator>
  <dc:description/>
  <dc:language>it-IT</dc:language>
  <cp:lastModifiedBy/>
  <dcterms:modified xsi:type="dcterms:W3CDTF">2021-06-11T00:52:17Z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