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  <w:r w:rsidRPr="00936B60">
        <w:rPr>
          <w:rFonts w:cstheme="minorHAnsi"/>
          <w:b/>
          <w:sz w:val="24"/>
          <w:szCs w:val="24"/>
        </w:rPr>
        <w:t xml:space="preserve"> </w:t>
      </w:r>
      <w:r w:rsidRPr="00936B60">
        <w:rPr>
          <w:rFonts w:cstheme="minorHAnsi"/>
          <w:b/>
          <w:sz w:val="24"/>
          <w:szCs w:val="24"/>
        </w:rPr>
        <w:t xml:space="preserve">                    </w:t>
      </w:r>
      <w:r w:rsidRPr="00936B60">
        <w:rPr>
          <w:rFonts w:cstheme="minorHAnsi"/>
          <w:b/>
          <w:sz w:val="24"/>
          <w:szCs w:val="24"/>
        </w:rPr>
        <w:t xml:space="preserve">          Ministero dell’Istruzione, dell’Università e della Ricerca</w:t>
      </w:r>
    </w:p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  <w:r w:rsidRPr="00936B60">
        <w:rPr>
          <w:rFonts w:cstheme="minorHAnsi"/>
          <w:b/>
          <w:sz w:val="24"/>
          <w:szCs w:val="24"/>
        </w:rPr>
        <w:t xml:space="preserve">                      </w:t>
      </w:r>
      <w:r w:rsidRPr="00936B60">
        <w:rPr>
          <w:rFonts w:cstheme="minorHAnsi"/>
          <w:b/>
          <w:sz w:val="24"/>
          <w:szCs w:val="24"/>
        </w:rPr>
        <w:t xml:space="preserve">                        </w:t>
      </w:r>
      <w:r w:rsidRPr="00936B60">
        <w:rPr>
          <w:rFonts w:cstheme="minorHAnsi"/>
          <w:b/>
          <w:sz w:val="24"/>
          <w:szCs w:val="24"/>
        </w:rPr>
        <w:t>Ufficio Scolastico Regionale per il Lazio</w:t>
      </w:r>
    </w:p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  <w:r w:rsidRPr="00936B60">
        <w:rPr>
          <w:rFonts w:cstheme="minorHAnsi"/>
          <w:b/>
          <w:sz w:val="24"/>
          <w:szCs w:val="24"/>
        </w:rPr>
        <w:t xml:space="preserve">                        </w:t>
      </w:r>
      <w:r w:rsidRPr="00936B60">
        <w:rPr>
          <w:rFonts w:cstheme="minorHAnsi"/>
          <w:b/>
          <w:sz w:val="24"/>
          <w:szCs w:val="24"/>
        </w:rPr>
        <w:t xml:space="preserve"> Istituto Statale d’Istruzione Superiore “VIA DELL’IMMACOLATA 47”</w:t>
      </w:r>
    </w:p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</w:p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  <w:r w:rsidRPr="00936B60">
        <w:rPr>
          <w:rFonts w:cstheme="minorHAnsi"/>
          <w:b/>
          <w:sz w:val="24"/>
          <w:szCs w:val="24"/>
        </w:rPr>
        <w:t>Programmazione di Lingua e Letteratura Italiana</w:t>
      </w:r>
    </w:p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  <w:r w:rsidRPr="00936B60">
        <w:rPr>
          <w:rFonts w:cstheme="minorHAnsi"/>
          <w:b/>
          <w:sz w:val="24"/>
          <w:szCs w:val="24"/>
        </w:rPr>
        <w:t xml:space="preserve">Prof.ssa Natalia </w:t>
      </w:r>
      <w:proofErr w:type="spellStart"/>
      <w:r w:rsidRPr="00936B60">
        <w:rPr>
          <w:rFonts w:cstheme="minorHAnsi"/>
          <w:b/>
          <w:sz w:val="24"/>
          <w:szCs w:val="24"/>
        </w:rPr>
        <w:t>Aradis</w:t>
      </w:r>
      <w:proofErr w:type="spellEnd"/>
    </w:p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  <w:r w:rsidRPr="00936B60">
        <w:rPr>
          <w:rFonts w:cstheme="minorHAnsi"/>
          <w:b/>
          <w:sz w:val="24"/>
          <w:szCs w:val="24"/>
        </w:rPr>
        <w:t>Anno scolastico 2019/2020</w:t>
      </w:r>
    </w:p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Classe IA</w:t>
      </w:r>
      <w:bookmarkStart w:id="0" w:name="_GoBack"/>
      <w:bookmarkEnd w:id="0"/>
      <w:r w:rsidRPr="00936B60">
        <w:rPr>
          <w:rFonts w:cstheme="minorHAnsi"/>
          <w:b/>
          <w:sz w:val="24"/>
          <w:szCs w:val="24"/>
        </w:rPr>
        <w:t xml:space="preserve"> Liceo Economico Sociale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GRAMMATICA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 xml:space="preserve">Libro di testo: Claudia Savigliano Il Buon Uso dell’italiano </w:t>
      </w:r>
      <w:proofErr w:type="spellStart"/>
      <w:r w:rsidRPr="00936B60">
        <w:rPr>
          <w:rFonts w:cstheme="minorHAnsi"/>
          <w:sz w:val="24"/>
          <w:szCs w:val="24"/>
        </w:rPr>
        <w:t>DeA</w:t>
      </w:r>
      <w:proofErr w:type="spellEnd"/>
      <w:r w:rsidRPr="00936B60">
        <w:rPr>
          <w:rFonts w:cstheme="minorHAnsi"/>
          <w:sz w:val="24"/>
          <w:szCs w:val="24"/>
        </w:rPr>
        <w:t xml:space="preserve"> scuola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Argomenti trattati: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Il suono delle parole: dittonghi, trittonghi, iati, consonanti, digrammi, trigrammi, la sillaba, accento tonico e grafico, elisione e troncamento., segni di punteggiatura. 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La forma e il significato delle parole: struttura delle parole, il lessico e la formazione delle parole, la derivazione, l’alterazione, la composizione, il prestito, le relazioni di significato tra le parole, </w:t>
      </w:r>
      <w:proofErr w:type="gramStart"/>
      <w:r w:rsidRPr="00936B60">
        <w:rPr>
          <w:rFonts w:cstheme="minorHAnsi"/>
          <w:sz w:val="24"/>
          <w:szCs w:val="24"/>
        </w:rPr>
        <w:t xml:space="preserve">l’ </w:t>
      </w:r>
      <w:proofErr w:type="spellStart"/>
      <w:r w:rsidRPr="00936B60">
        <w:rPr>
          <w:rFonts w:cstheme="minorHAnsi"/>
          <w:sz w:val="24"/>
          <w:szCs w:val="24"/>
        </w:rPr>
        <w:t>omonimìa</w:t>
      </w:r>
      <w:proofErr w:type="spellEnd"/>
      <w:proofErr w:type="gramEnd"/>
      <w:r w:rsidRPr="00936B60">
        <w:rPr>
          <w:rFonts w:cstheme="minorHAnsi"/>
          <w:sz w:val="24"/>
          <w:szCs w:val="24"/>
        </w:rPr>
        <w:t xml:space="preserve"> e </w:t>
      </w:r>
      <w:proofErr w:type="spellStart"/>
      <w:r w:rsidRPr="00936B60">
        <w:rPr>
          <w:rFonts w:cstheme="minorHAnsi"/>
          <w:sz w:val="24"/>
          <w:szCs w:val="24"/>
        </w:rPr>
        <w:t>polisemìa</w:t>
      </w:r>
      <w:proofErr w:type="spellEnd"/>
      <w:r w:rsidRPr="00936B60">
        <w:rPr>
          <w:rFonts w:cstheme="minorHAnsi"/>
          <w:sz w:val="24"/>
          <w:szCs w:val="24"/>
        </w:rPr>
        <w:t xml:space="preserve">, il significato denotativo e connotativo, i sinonimi, gli </w:t>
      </w:r>
      <w:proofErr w:type="spellStart"/>
      <w:r w:rsidRPr="00936B60">
        <w:rPr>
          <w:rFonts w:cstheme="minorHAnsi"/>
          <w:sz w:val="24"/>
          <w:szCs w:val="24"/>
        </w:rPr>
        <w:t>antònimi</w:t>
      </w:r>
      <w:proofErr w:type="spellEnd"/>
      <w:r w:rsidRPr="00936B60">
        <w:rPr>
          <w:rFonts w:cstheme="minorHAnsi"/>
          <w:sz w:val="24"/>
          <w:szCs w:val="24"/>
        </w:rPr>
        <w:t xml:space="preserve">,  </w:t>
      </w:r>
      <w:proofErr w:type="spellStart"/>
      <w:r w:rsidRPr="00936B60">
        <w:rPr>
          <w:rFonts w:cstheme="minorHAnsi"/>
          <w:sz w:val="24"/>
          <w:szCs w:val="24"/>
        </w:rPr>
        <w:t>iperònimi</w:t>
      </w:r>
      <w:proofErr w:type="spellEnd"/>
      <w:r w:rsidRPr="00936B60">
        <w:rPr>
          <w:rFonts w:cstheme="minorHAnsi"/>
          <w:sz w:val="24"/>
          <w:szCs w:val="24"/>
        </w:rPr>
        <w:t xml:space="preserve"> e </w:t>
      </w:r>
      <w:proofErr w:type="spellStart"/>
      <w:r w:rsidRPr="00936B60">
        <w:rPr>
          <w:rFonts w:cstheme="minorHAnsi"/>
          <w:sz w:val="24"/>
          <w:szCs w:val="24"/>
        </w:rPr>
        <w:t>ipònimi</w:t>
      </w:r>
      <w:proofErr w:type="spellEnd"/>
      <w:r w:rsidRPr="00936B60">
        <w:rPr>
          <w:rFonts w:cstheme="minorHAnsi"/>
          <w:sz w:val="24"/>
          <w:szCs w:val="24"/>
        </w:rPr>
        <w:t xml:space="preserve">, gli </w:t>
      </w:r>
      <w:proofErr w:type="spellStart"/>
      <w:r w:rsidRPr="00936B60">
        <w:rPr>
          <w:rFonts w:cstheme="minorHAnsi"/>
          <w:sz w:val="24"/>
          <w:szCs w:val="24"/>
        </w:rPr>
        <w:t>olònimi</w:t>
      </w:r>
      <w:proofErr w:type="spellEnd"/>
      <w:r w:rsidRPr="00936B60">
        <w:rPr>
          <w:rFonts w:cstheme="minorHAnsi"/>
          <w:sz w:val="24"/>
          <w:szCs w:val="24"/>
        </w:rPr>
        <w:t xml:space="preserve"> e </w:t>
      </w:r>
      <w:proofErr w:type="spellStart"/>
      <w:r w:rsidRPr="00936B60">
        <w:rPr>
          <w:rFonts w:cstheme="minorHAnsi"/>
          <w:sz w:val="24"/>
          <w:szCs w:val="24"/>
        </w:rPr>
        <w:t>merònimi</w:t>
      </w:r>
      <w:proofErr w:type="spellEnd"/>
      <w:r w:rsidRPr="00936B60">
        <w:rPr>
          <w:rFonts w:cstheme="minorHAnsi"/>
          <w:sz w:val="24"/>
          <w:szCs w:val="24"/>
        </w:rPr>
        <w:t>, le famiglie di parole e campi semantici.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verbo: la struttura de verbo, la persona e il numero, i modi verbali, i tempi verbali, l’aspetto, il genere e la forma del verbo, verbi transitivi e intransitivi, la forma attiva e passiva del verbo, la forma riflessiva, la forma intransitiva pronominale, la forma impersonale, i verbi copulativi, i verbi ausiliari, i verbi servili, i verbi fraseologici.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Il nome: il significato dei nomi, la forma dei nomi (il genere), la forma dei nomi (il numero), la struttura e la formazione dei nomi. 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 aggettivo: la forma e la concordanza degli aggettivi qualificativi, le funzioni e le posizioni dell’aggettivo, i gradi di intensità dell’aggettivo.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Analisi logica: predicato verbale, predicato nominale, complemento diretto (oggetto), complementi indiretti.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Il pronome e gli aggettivi pronominali: pronomi personali, pronomi personali in funzione di soggetto, pronomi personali con funzione di complemento, pronomi personali riflessivi, pronomi relativi, il pronome e gli aggettivi dimostrativi, i pronomi e gli aggettivi indefiniti, i pronomi e gli aggettivi interrogativi ed esclamativi, il pronome e gli aggettivi numerali. 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 xml:space="preserve">    ANTOLOGIA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 xml:space="preserve">Libro di testo: </w:t>
      </w:r>
      <w:proofErr w:type="spellStart"/>
      <w:r w:rsidRPr="00936B60">
        <w:rPr>
          <w:rFonts w:cstheme="minorHAnsi"/>
          <w:sz w:val="24"/>
          <w:szCs w:val="24"/>
        </w:rPr>
        <w:t>Iannaccone</w:t>
      </w:r>
      <w:proofErr w:type="spellEnd"/>
      <w:r w:rsidRPr="00936B60">
        <w:rPr>
          <w:rFonts w:cstheme="minorHAnsi"/>
          <w:sz w:val="24"/>
          <w:szCs w:val="24"/>
        </w:rPr>
        <w:t>-Novelli L’emozione della lettura Giunti TVP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Argomenti trattati: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lastRenderedPageBreak/>
        <w:t>•</w:t>
      </w:r>
      <w:r w:rsidRPr="00936B60">
        <w:rPr>
          <w:rFonts w:cstheme="minorHAnsi"/>
          <w:sz w:val="24"/>
          <w:szCs w:val="24"/>
        </w:rPr>
        <w:tab/>
        <w:t>Il bisogno delle storie.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palestra del cuore.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Chi narra e chi legge: l’autonomia della voce, il patto narrativo.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Le tipologie di narratore: il narratore interno ed esterno e i gradi di narrazione, narratore palese e nascosto, narratore onnisciente e non onnisciente, narratore attendibile e non attendibile.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punto di vista: focalizzazione zero, focalizzazione interna, focalizzazione esterna.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Le parole dei personaggi: discorso diretto legato, discorso indiretto legato, discorso diretto libero, discorso indiretto libero.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 pensieri dei personaggi: soliloquio, monologo interiore, flusso di coscienza.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Tempo e narrazione: non c’è storia senza tempo, la collocazione cronologica, fabula e intreccio, l’ordine degli eventi, la durata, la frequenza.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 La struttura narrativa: le fasi, le sequenze, il ritmo.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I luoghi narrativi tra realtà e immaginazione: luoghi reali, luoghi realistici, luoghi immaginari. 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Le forme della descrizione dello spazio dello spazio.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Le opposizioni spaziali: alto/basso, aperto/chiuso.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Che cosa è un personaggio.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Modalità di presentazione.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caratterizzazione.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sistema dei personaggi: la gerarchia dei ruoli, i rapporti tra personaggi.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tipologia dei personaggi: gli individui, i tipi.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Che cos’è lo stile.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lessico.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sintassi.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Le figure retoriche: le figure di parole, le figure di pensiero, tropi.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 registri linguistici.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fiaba: la struttura e i temi fondamentali, le finalità educative, la fiaba nel tempo.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favola: le caratteristiche, la storia del genere.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fantastico: la storia del genere, temi e stili.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fantascienza: storia del genere.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giallo: caratteri e struttura, il giallo nel tempo,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lastRenderedPageBreak/>
        <w:t>•</w:t>
      </w:r>
      <w:r w:rsidRPr="00936B60">
        <w:rPr>
          <w:rFonts w:cstheme="minorHAnsi"/>
          <w:sz w:val="24"/>
          <w:szCs w:val="24"/>
        </w:rPr>
        <w:tab/>
        <w:t>L’ horror: il gusto della paura, l’horror nel tempo.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Il comico: ridere cosa </w:t>
      </w:r>
      <w:proofErr w:type="gramStart"/>
      <w:r w:rsidRPr="00936B60">
        <w:rPr>
          <w:rFonts w:cstheme="minorHAnsi"/>
          <w:sz w:val="24"/>
          <w:szCs w:val="24"/>
        </w:rPr>
        <w:t>seria?,</w:t>
      </w:r>
      <w:proofErr w:type="gramEnd"/>
      <w:r w:rsidRPr="00936B60">
        <w:rPr>
          <w:rFonts w:cstheme="minorHAnsi"/>
          <w:sz w:val="24"/>
          <w:szCs w:val="24"/>
        </w:rPr>
        <w:t xml:space="preserve"> tipologie del comico, il riso amaro dell’ umorismo, ridere per castigare (parodia e satira).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Brani letti: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Un vagabondo a San Pietroburgo;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primo ballo;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Sentinella.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Quattordici;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Poseidone e i compagni.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Un viaggio notturno;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laguna.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Ti sento Giuditta;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Una festa borghese.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 uccello d’oro;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Alla ricerca di un tetto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Qualcosa era successo.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Raperonzolo;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leone, la volpe e il cervo.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L’uomo dalle due identità;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Un’ orribile metamorfosi;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club dei duellanti.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mano scorticata;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gatto nero.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Calandrino lapidato;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treno ha fischiato;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storia di Pronto Soccorso e Beauty Case.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 xml:space="preserve">  EPICA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Libro di testo: L’ emozione della lettura (epica)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lastRenderedPageBreak/>
        <w:t xml:space="preserve">      Argomenti trattati: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Mito e l’Epica: un mondo da raccontare, il tempo e lo spazio del racconto mitico, l’epica.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libro dei libri: l’antico e il nuovo testamento, la composizione, lo stile.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L’epica della Mesopotamia: la trama, i temi.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Il mito greco e romano: il significato e la bellezza dei miti, gli </w:t>
      </w:r>
      <w:proofErr w:type="spellStart"/>
      <w:r w:rsidRPr="00936B60">
        <w:rPr>
          <w:rFonts w:cstheme="minorHAnsi"/>
          <w:sz w:val="24"/>
          <w:szCs w:val="24"/>
        </w:rPr>
        <w:t>dèi</w:t>
      </w:r>
      <w:proofErr w:type="spellEnd"/>
      <w:r w:rsidRPr="00936B60">
        <w:rPr>
          <w:rFonts w:cstheme="minorHAnsi"/>
          <w:sz w:val="24"/>
          <w:szCs w:val="24"/>
        </w:rPr>
        <w:t xml:space="preserve"> greci e romani, i temi della mitologia, le fonti, il mito in età ellenistica e romana.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L’epica Omerica: la questione Omerica, tra mito e storia, i poemi omerici come fonte storica, Iliade e Odissea confronto, due mondi diversi, le tecniche di narrazione.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L’Iliade: la guerra di Troia, gli antefatti, la trama, i temi, i personaggi principali, gli </w:t>
      </w:r>
      <w:proofErr w:type="spellStart"/>
      <w:r w:rsidRPr="00936B60">
        <w:rPr>
          <w:rFonts w:cstheme="minorHAnsi"/>
          <w:sz w:val="24"/>
          <w:szCs w:val="24"/>
        </w:rPr>
        <w:t>Dèi</w:t>
      </w:r>
      <w:proofErr w:type="spellEnd"/>
      <w:r w:rsidRPr="00936B60">
        <w:rPr>
          <w:rFonts w:cstheme="minorHAnsi"/>
          <w:sz w:val="24"/>
          <w:szCs w:val="24"/>
        </w:rPr>
        <w:t>, i Greci, i Troiani.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L’Odissea: il poema di Odisseo, la struttura, il tempo e lo spazio, la trama, i temi, i personaggi principali.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 Eneide: l’autore (Virgilio), i temi del poema, la struttura, il tempo e lo spazio, la trama, i personaggi, lo stile.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 xml:space="preserve">      Brani letti: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Una forza sovrumana: Sansone;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Davide e Golia;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Bruna sono ma bella.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pianto di Gilgamesh.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Narciso;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Priamo e Tisbe;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Dedalo e Icaro.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proemio;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contesa tra Achille e Agamennone;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Amici ritrovati: Glauco e Diomede;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 incontro di Ettore e Andromaca;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duello tra Ettore e Achille.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L’incontro con </w:t>
      </w:r>
      <w:proofErr w:type="spellStart"/>
      <w:r w:rsidRPr="00936B60">
        <w:rPr>
          <w:rFonts w:cstheme="minorHAnsi"/>
          <w:sz w:val="24"/>
          <w:szCs w:val="24"/>
        </w:rPr>
        <w:t>Nausicaa</w:t>
      </w:r>
      <w:proofErr w:type="spellEnd"/>
      <w:r w:rsidRPr="00936B60">
        <w:rPr>
          <w:rFonts w:cstheme="minorHAnsi"/>
          <w:sz w:val="24"/>
          <w:szCs w:val="24"/>
        </w:rPr>
        <w:t>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L’avventura tra i Ciclopi;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maga Circe;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Un canto ammaliante: Odisseo e le Sirene;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L’arrivo a Itaca;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lastRenderedPageBreak/>
        <w:t xml:space="preserve">   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 xml:space="preserve">    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</w:p>
    <w:p w:rsidR="00BA7B45" w:rsidRPr="00936B60" w:rsidRDefault="00BA7B45">
      <w:pPr>
        <w:rPr>
          <w:rFonts w:cstheme="minorHAnsi"/>
          <w:sz w:val="24"/>
          <w:szCs w:val="24"/>
        </w:rPr>
      </w:pPr>
    </w:p>
    <w:sectPr w:rsidR="00BA7B45" w:rsidRPr="00936B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60"/>
    <w:rsid w:val="00936B60"/>
    <w:rsid w:val="00BA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19834"/>
  <w15:chartTrackingRefBased/>
  <w15:docId w15:val="{5BE7173F-61E5-4256-8DCC-01D87163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924</Words>
  <Characters>5270</Characters>
  <Application>Microsoft Office Word</Application>
  <DocSecurity>0</DocSecurity>
  <Lines>43</Lines>
  <Paragraphs>12</Paragraphs>
  <ScaleCrop>false</ScaleCrop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Zampolini</dc:creator>
  <cp:keywords/>
  <dc:description/>
  <cp:lastModifiedBy>Pavel Zampolini</cp:lastModifiedBy>
  <cp:revision>1</cp:revision>
  <dcterms:created xsi:type="dcterms:W3CDTF">2020-06-04T11:21:00Z</dcterms:created>
  <dcterms:modified xsi:type="dcterms:W3CDTF">2020-06-04T11:23:00Z</dcterms:modified>
</cp:coreProperties>
</file>